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4C" w:rsidRPr="009E4761" w:rsidRDefault="000B1FEF" w:rsidP="009E4761">
      <w:pPr>
        <w:ind w:left="2160"/>
        <w:contextualSpacing/>
        <w:jc w:val="right"/>
        <w:rPr>
          <w:rFonts w:ascii="Berlin Sans FB Demi" w:hAnsi="Berlin Sans FB Demi" w:cs="Times New Roman"/>
          <w:b/>
          <w:color w:val="000000"/>
          <w:sz w:val="32"/>
          <w:szCs w:val="32"/>
        </w:rPr>
      </w:pPr>
      <w:r w:rsidRPr="009E4761">
        <w:rPr>
          <w:rFonts w:ascii="Berlin Sans FB Demi" w:hAnsi="Berlin Sans FB Demi" w:cs="Times New Roman"/>
          <w:color w:val="000000"/>
          <w:sz w:val="24"/>
          <w:szCs w:val="24"/>
        </w:rPr>
        <w:t xml:space="preserve">  </w:t>
      </w:r>
      <w:r w:rsidR="009B564C" w:rsidRPr="009E4761">
        <w:rPr>
          <w:rFonts w:ascii="Berlin Sans FB Demi" w:hAnsi="Berlin Sans FB Demi" w:cs="Times New Roman"/>
          <w:b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-88265</wp:posOffset>
            </wp:positionV>
            <wp:extent cx="990600" cy="8763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64C" w:rsidRPr="009E4761">
        <w:rPr>
          <w:rFonts w:ascii="Berlin Sans FB Demi" w:hAnsi="Berlin Sans FB Demi" w:cs="Times New Roman"/>
          <w:b/>
          <w:color w:val="000000"/>
          <w:sz w:val="32"/>
          <w:szCs w:val="32"/>
        </w:rPr>
        <w:t>INDUS RIVER SYSTEM AUTHORITY</w:t>
      </w:r>
    </w:p>
    <w:p w:rsidR="009B564C" w:rsidRPr="009B564C" w:rsidRDefault="009B564C" w:rsidP="009E4761">
      <w:pPr>
        <w:ind w:left="1440" w:firstLine="720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761">
        <w:rPr>
          <w:rFonts w:ascii="Berlin Sans FB Demi" w:hAnsi="Berlin Sans FB Demi" w:cs="Times New Roman"/>
          <w:b/>
          <w:color w:val="000000"/>
          <w:sz w:val="32"/>
          <w:szCs w:val="32"/>
        </w:rPr>
        <w:t>GOVERNMENT OF PAKISTAN</w:t>
      </w:r>
    </w:p>
    <w:p w:rsidR="009B564C" w:rsidRDefault="009B564C" w:rsidP="009E476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64C" w:rsidRPr="00E04356" w:rsidRDefault="009B564C" w:rsidP="00E04356">
      <w:pPr>
        <w:ind w:hanging="2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B56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TENDER NOTICE</w:t>
      </w:r>
    </w:p>
    <w:p w:rsidR="000B1FEF" w:rsidRPr="009B564C" w:rsidRDefault="000B1FEF" w:rsidP="0084441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color w:val="000000"/>
          <w:sz w:val="24"/>
          <w:szCs w:val="24"/>
        </w:rPr>
        <w:t xml:space="preserve">Indus River System Authority (IRSA) intends to purchase the following Computer Items. Sealed Quotations are invited to purchase of following </w:t>
      </w:r>
      <w:r w:rsidR="0084441B">
        <w:rPr>
          <w:rFonts w:ascii="Times New Roman" w:hAnsi="Times New Roman" w:cs="Times New Roman"/>
          <w:color w:val="000000"/>
          <w:sz w:val="24"/>
          <w:szCs w:val="24"/>
        </w:rPr>
        <w:t xml:space="preserve">items </w:t>
      </w:r>
      <w:r w:rsidRPr="009B564C">
        <w:rPr>
          <w:rFonts w:ascii="Times New Roman" w:hAnsi="Times New Roman" w:cs="Times New Roman"/>
          <w:color w:val="000000"/>
          <w:sz w:val="24"/>
          <w:szCs w:val="24"/>
        </w:rPr>
        <w:t xml:space="preserve">from GST/ Income </w:t>
      </w:r>
      <w:r w:rsidR="009E4761" w:rsidRPr="009B564C">
        <w:rPr>
          <w:rFonts w:ascii="Times New Roman" w:hAnsi="Times New Roman" w:cs="Times New Roman"/>
          <w:color w:val="000000"/>
          <w:sz w:val="24"/>
          <w:szCs w:val="24"/>
        </w:rPr>
        <w:t>Tax registered</w:t>
      </w:r>
      <w:r w:rsidR="0084441B">
        <w:rPr>
          <w:rFonts w:ascii="Times New Roman" w:hAnsi="Times New Roman" w:cs="Times New Roman"/>
          <w:color w:val="000000"/>
          <w:sz w:val="24"/>
          <w:szCs w:val="24"/>
        </w:rPr>
        <w:t xml:space="preserve"> firms</w:t>
      </w:r>
      <w:r w:rsidR="00BC743C">
        <w:rPr>
          <w:rFonts w:ascii="Times New Roman" w:hAnsi="Times New Roman" w:cs="Times New Roman"/>
          <w:color w:val="000000"/>
          <w:sz w:val="24"/>
          <w:szCs w:val="24"/>
        </w:rPr>
        <w:t xml:space="preserve"> and having their own service labs in Islamabad</w:t>
      </w:r>
      <w:r w:rsidR="0084441B">
        <w:rPr>
          <w:rFonts w:ascii="Times New Roman" w:hAnsi="Times New Roman" w:cs="Times New Roman"/>
          <w:color w:val="000000"/>
          <w:sz w:val="24"/>
          <w:szCs w:val="24"/>
        </w:rPr>
        <w:t>:-</w:t>
      </w:r>
    </w:p>
    <w:tbl>
      <w:tblPr>
        <w:tblStyle w:val="TableGrid"/>
        <w:tblW w:w="9576" w:type="dxa"/>
        <w:tblLayout w:type="fixed"/>
        <w:tblLook w:val="04A0"/>
      </w:tblPr>
      <w:tblGrid>
        <w:gridCol w:w="534"/>
        <w:gridCol w:w="8325"/>
        <w:gridCol w:w="717"/>
      </w:tblGrid>
      <w:tr w:rsidR="000B1FEF" w:rsidRPr="009B564C" w:rsidTr="002252E9">
        <w:trPr>
          <w:trHeight w:hRule="exact" w:val="284"/>
        </w:trPr>
        <w:tc>
          <w:tcPr>
            <w:tcW w:w="534" w:type="dxa"/>
          </w:tcPr>
          <w:p w:rsidR="000B1FEF" w:rsidRPr="009B564C" w:rsidRDefault="000B1FEF" w:rsidP="009B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</w:tc>
        <w:tc>
          <w:tcPr>
            <w:tcW w:w="8325" w:type="dxa"/>
          </w:tcPr>
          <w:p w:rsidR="000B1FEF" w:rsidRPr="009B564C" w:rsidRDefault="000B1FEF" w:rsidP="009B5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Equipment</w:t>
            </w:r>
          </w:p>
        </w:tc>
        <w:tc>
          <w:tcPr>
            <w:tcW w:w="717" w:type="dxa"/>
          </w:tcPr>
          <w:p w:rsidR="000B1FEF" w:rsidRPr="009B564C" w:rsidRDefault="0084441B" w:rsidP="009B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</w:tr>
      <w:tr w:rsidR="000B1FEF" w:rsidRPr="009B564C" w:rsidTr="002252E9">
        <w:trPr>
          <w:trHeight w:hRule="exact" w:val="1223"/>
        </w:trPr>
        <w:tc>
          <w:tcPr>
            <w:tcW w:w="534" w:type="dxa"/>
          </w:tcPr>
          <w:p w:rsidR="000B1FEF" w:rsidRPr="009B564C" w:rsidRDefault="000B1FEF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5" w:type="dxa"/>
          </w:tcPr>
          <w:p w:rsidR="000B1FEF" w:rsidRPr="009B564C" w:rsidRDefault="000B1FEF" w:rsidP="0059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1B">
              <w:rPr>
                <w:rFonts w:ascii="Times New Roman" w:hAnsi="Times New Roman" w:cs="Times New Roman"/>
                <w:b/>
                <w:sz w:val="24"/>
                <w:szCs w:val="24"/>
              </w:rPr>
              <w:t>Desktop Computer</w:t>
            </w:r>
            <w:r w:rsidR="006B26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3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>Dell</w:t>
            </w:r>
            <w:r w:rsidR="006B2687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59071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B2687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quivalent </w:t>
            </w:r>
            <w:r w:rsidR="00832FDE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>Branded Computer 7070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,Intel core i7 (9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th Generation)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16 GB DDR4 Ram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1000 GB Hard disk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DVD RW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r w:rsidR="007C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Keyboard and Mouse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21 Inch Dell LED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Win 10 Pro 64 Bit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(licensed)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Microsoft Office Pro Plus 2019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Kaspersky Antivirus Licensed</w:t>
            </w:r>
            <w:r w:rsidR="006B2687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Year Warranty</w:t>
            </w:r>
          </w:p>
        </w:tc>
        <w:tc>
          <w:tcPr>
            <w:tcW w:w="717" w:type="dxa"/>
          </w:tcPr>
          <w:p w:rsidR="000B1FEF" w:rsidRPr="009B564C" w:rsidRDefault="000B1FEF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B1FEF" w:rsidRPr="009B564C" w:rsidTr="002252E9">
        <w:trPr>
          <w:trHeight w:hRule="exact" w:val="2120"/>
        </w:trPr>
        <w:tc>
          <w:tcPr>
            <w:tcW w:w="534" w:type="dxa"/>
          </w:tcPr>
          <w:p w:rsidR="000B1FEF" w:rsidRPr="009B564C" w:rsidRDefault="000B1FEF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5" w:type="dxa"/>
          </w:tcPr>
          <w:p w:rsidR="00B9451B" w:rsidRPr="009B564C" w:rsidRDefault="000B1FEF" w:rsidP="004E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55">
              <w:rPr>
                <w:rFonts w:ascii="Times New Roman" w:hAnsi="Times New Roman" w:cs="Times New Roman"/>
                <w:b/>
                <w:sz w:val="24"/>
                <w:szCs w:val="24"/>
              </w:rPr>
              <w:t>Laptop</w:t>
            </w:r>
            <w:r w:rsidR="00DE4955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Apple </w:t>
            </w:r>
            <w:proofErr w:type="spellStart"/>
            <w:r w:rsidR="00832FDE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>MacBook</w:t>
            </w:r>
            <w:proofErr w:type="spellEnd"/>
            <w:r w:rsidR="00832FDE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Air (2019)</w:t>
            </w:r>
            <w:r w:rsidR="006E4937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6E493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E4937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>quivalent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Features: Touch ID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,Processor: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1.6GHz dual-core 8th-generation Int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 xml:space="preserve">el Core i5 processor </w:t>
            </w:r>
            <w:proofErr w:type="spellStart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withTurbo</w:t>
            </w:r>
            <w:proofErr w:type="spellEnd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Boost up to 3.6GHz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RAM: 8GB 2133MHz LPDDR3 memory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Storage: 256 GB SSD storage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Displ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 xml:space="preserve">ay: 13-inch Retina display </w:t>
            </w:r>
            <w:proofErr w:type="spellStart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withTrue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  <w:proofErr w:type="spellEnd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Graphics: Intel UHD Graphics 617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 xml:space="preserve">,Trackpad: Force </w:t>
            </w:r>
            <w:proofErr w:type="spellStart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trackpad</w:t>
            </w:r>
            <w:proofErr w:type="spellEnd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 xml:space="preserve">Ports: Two Thunderbolt 3 </w:t>
            </w:r>
            <w:proofErr w:type="spellStart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portsWith</w:t>
            </w:r>
            <w:proofErr w:type="spellEnd"/>
            <w:r w:rsidR="00DE4955">
              <w:rPr>
                <w:rFonts w:ascii="Times New Roman" w:hAnsi="Times New Roman" w:cs="Times New Roman"/>
                <w:sz w:val="24"/>
                <w:szCs w:val="24"/>
              </w:rPr>
              <w:t xml:space="preserve"> Windows Option, Win 10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Pro 64 Bit (licensed)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Microsoft Office Pro Plus 2019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Lather Bag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1B" w:rsidRPr="00832FDE">
              <w:rPr>
                <w:rFonts w:ascii="Times New Roman" w:hAnsi="Times New Roman" w:cs="Times New Roman"/>
                <w:sz w:val="24"/>
                <w:szCs w:val="24"/>
              </w:rPr>
              <w:t>01 Year Warranty</w:t>
            </w:r>
          </w:p>
        </w:tc>
        <w:tc>
          <w:tcPr>
            <w:tcW w:w="717" w:type="dxa"/>
          </w:tcPr>
          <w:p w:rsidR="000B1FEF" w:rsidRPr="009B564C" w:rsidRDefault="000B1FEF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B1FEF" w:rsidRPr="009B564C" w:rsidTr="002252E9">
        <w:trPr>
          <w:trHeight w:hRule="exact" w:val="2264"/>
        </w:trPr>
        <w:tc>
          <w:tcPr>
            <w:tcW w:w="534" w:type="dxa"/>
          </w:tcPr>
          <w:p w:rsidR="000B1FEF" w:rsidRPr="009B564C" w:rsidRDefault="000B1FEF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5" w:type="dxa"/>
          </w:tcPr>
          <w:p w:rsidR="000B1FEF" w:rsidRPr="009B564C" w:rsidRDefault="000B1FEF" w:rsidP="004E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55">
              <w:rPr>
                <w:rFonts w:ascii="Times New Roman" w:hAnsi="Times New Roman" w:cs="Times New Roman"/>
                <w:b/>
                <w:sz w:val="24"/>
                <w:szCs w:val="24"/>
              </w:rPr>
              <w:t>Printer</w:t>
            </w:r>
            <w:r w:rsidR="00DE4955" w:rsidRPr="00DE49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3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937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HP </w:t>
            </w:r>
            <w:r w:rsidR="00832FDE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Color LaserJet Pro M254 </w:t>
            </w:r>
            <w:proofErr w:type="spellStart"/>
            <w:r w:rsidR="00832FDE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>dw</w:t>
            </w:r>
            <w:proofErr w:type="spellEnd"/>
            <w:r w:rsidR="00832FDE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Printer</w:t>
            </w:r>
            <w:r w:rsidR="006E4937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59071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E4937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>quivalent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 xml:space="preserve">Functions: </w:t>
            </w:r>
            <w:proofErr w:type="spellStart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, wireless Print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 xml:space="preserve"> Black: Normal: Up to 22 </w:t>
            </w:r>
            <w:proofErr w:type="spellStart"/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 xml:space="preserve"> Print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 xml:space="preserve">, Color: Normal: </w:t>
            </w:r>
            <w:proofErr w:type="spellStart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Resolution (black): Up to 600 x 600 dpi Resolution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 (color): Up to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600 x 600 dpi, Duplex printing: Yes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Processor speed: 800 MHz Paper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handling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input, standard: 250-sheet in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put tray; 1-sheet priority tray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handling output, standard: 100-sheet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 xml:space="preserve"> output bin Monthly duty cycle: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="00DE4955">
              <w:rPr>
                <w:rFonts w:ascii="Times New Roman" w:hAnsi="Times New Roman" w:cs="Times New Roman"/>
                <w:sz w:val="24"/>
                <w:szCs w:val="24"/>
              </w:rPr>
              <w:t xml:space="preserve"> 40,000 pages</w:t>
            </w:r>
            <w:r w:rsidR="00D7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 xml:space="preserve">Connectivity, standard: 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Hi-Speed USB 2.0 port; built-</w:t>
            </w:r>
            <w:proofErr w:type="spellStart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 xml:space="preserve"> Ether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 xml:space="preserve">net 10/100Base-TX network </w:t>
            </w:r>
            <w:proofErr w:type="spellStart"/>
            <w:r w:rsidR="00DE4955">
              <w:rPr>
                <w:rFonts w:ascii="Times New Roman" w:hAnsi="Times New Roman" w:cs="Times New Roman"/>
                <w:sz w:val="24"/>
                <w:szCs w:val="24"/>
              </w:rPr>
              <w:t>port;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r w:rsidR="00DE49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DE4955">
              <w:rPr>
                <w:rFonts w:ascii="Times New Roman" w:hAnsi="Times New Roman" w:cs="Times New Roman"/>
                <w:sz w:val="24"/>
                <w:szCs w:val="24"/>
              </w:rPr>
              <w:t xml:space="preserve"> band 802.11n 2.4/5GHz;Walkup host USB port</w:t>
            </w:r>
            <w:r w:rsidR="00225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01 Year Warranty</w:t>
            </w:r>
          </w:p>
        </w:tc>
        <w:tc>
          <w:tcPr>
            <w:tcW w:w="717" w:type="dxa"/>
          </w:tcPr>
          <w:p w:rsidR="000B1FEF" w:rsidRPr="009B564C" w:rsidRDefault="000B1FEF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B1FEF" w:rsidRPr="009B564C" w:rsidTr="002252E9">
        <w:trPr>
          <w:trHeight w:hRule="exact" w:val="425"/>
        </w:trPr>
        <w:tc>
          <w:tcPr>
            <w:tcW w:w="534" w:type="dxa"/>
          </w:tcPr>
          <w:p w:rsidR="000B1FEF" w:rsidRPr="009B564C" w:rsidRDefault="000B1FEF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5" w:type="dxa"/>
          </w:tcPr>
          <w:p w:rsidR="000B1FEF" w:rsidRPr="009B564C" w:rsidRDefault="000B1FEF" w:rsidP="004E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9">
              <w:rPr>
                <w:rFonts w:ascii="Times New Roman" w:hAnsi="Times New Roman" w:cs="Times New Roman"/>
                <w:b/>
                <w:sz w:val="24"/>
                <w:szCs w:val="24"/>
              </w:rPr>
              <w:t>UPS</w:t>
            </w:r>
            <w:r w:rsidR="002252E9" w:rsidRPr="002252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32FDE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1.5 KVA APC</w:t>
            </w:r>
            <w:r w:rsidR="00DE4955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59071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E4955" w:rsidRPr="006E4937">
              <w:rPr>
                <w:rFonts w:ascii="Times New Roman" w:hAnsi="Times New Roman" w:cs="Times New Roman"/>
                <w:b/>
                <w:sz w:val="24"/>
                <w:szCs w:val="24"/>
              </w:rPr>
              <w:t>quivalent</w:t>
            </w:r>
            <w:r w:rsidR="002252E9">
              <w:rPr>
                <w:rFonts w:ascii="Times New Roman" w:hAnsi="Times New Roman" w:cs="Times New Roman"/>
                <w:sz w:val="24"/>
                <w:szCs w:val="24"/>
              </w:rPr>
              <w:t xml:space="preserve">, With loop cables, </w:t>
            </w:r>
            <w:r w:rsidR="00832FDE" w:rsidRPr="00832FDE">
              <w:rPr>
                <w:rFonts w:ascii="Times New Roman" w:hAnsi="Times New Roman" w:cs="Times New Roman"/>
                <w:sz w:val="24"/>
                <w:szCs w:val="24"/>
              </w:rPr>
              <w:t>01 Year Warranty</w:t>
            </w:r>
          </w:p>
        </w:tc>
        <w:tc>
          <w:tcPr>
            <w:tcW w:w="717" w:type="dxa"/>
          </w:tcPr>
          <w:p w:rsidR="000B1FEF" w:rsidRPr="009B564C" w:rsidRDefault="000B1FEF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C63109" w:rsidRDefault="00C63109" w:rsidP="00C63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FEF" w:rsidRPr="009B564C" w:rsidRDefault="000B1FEF" w:rsidP="00C631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TERMS &amp; CONDITIONS:-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"/>
        <w:gridCol w:w="8781"/>
      </w:tblGrid>
      <w:tr w:rsidR="000B1FEF" w:rsidRPr="009B564C" w:rsidTr="009B564C">
        <w:tc>
          <w:tcPr>
            <w:tcW w:w="828" w:type="dxa"/>
          </w:tcPr>
          <w:p w:rsidR="000B1FEF" w:rsidRPr="009B564C" w:rsidRDefault="000B1FEF" w:rsidP="00C631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0B1FEF" w:rsidRPr="009B564C" w:rsidRDefault="000B1FEF" w:rsidP="00C631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>All the firms will have to submit the proof of GST registration.</w:t>
            </w:r>
          </w:p>
        </w:tc>
      </w:tr>
      <w:tr w:rsidR="000B1FEF" w:rsidRPr="009B564C" w:rsidTr="009B564C">
        <w:tc>
          <w:tcPr>
            <w:tcW w:w="828" w:type="dxa"/>
          </w:tcPr>
          <w:p w:rsidR="000B1FEF" w:rsidRPr="009B564C" w:rsidRDefault="000B1FEF" w:rsidP="006E4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0B1FEF" w:rsidRPr="009B564C" w:rsidRDefault="000B1FEF" w:rsidP="006E49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sealed quotation with dat</w:t>
            </w:r>
            <w:r w:rsidR="009E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of validity for three months </w:t>
            </w:r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should be addressed to the </w:t>
            </w:r>
            <w:r w:rsidRPr="009B5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“PURCHASE COMMITTEE” IRSA</w:t>
            </w:r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1FEF" w:rsidRPr="009B564C" w:rsidTr="009B564C">
        <w:tc>
          <w:tcPr>
            <w:tcW w:w="828" w:type="dxa"/>
          </w:tcPr>
          <w:p w:rsidR="000B1FEF" w:rsidRPr="009B564C" w:rsidRDefault="000B1FEF" w:rsidP="006E4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0B1FEF" w:rsidRPr="009B564C" w:rsidRDefault="000B1FEF" w:rsidP="006E49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Sealed bids completed in all aspects along with the details </w:t>
            </w: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 xml:space="preserve">specification </w:t>
            </w:r>
            <w:proofErr w:type="gramStart"/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9E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9E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of total amount of bid as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bid Security in the form of Bank draft / Pay order in </w:t>
            </w:r>
            <w:r w:rsidR="009E4761"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>favor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“IRSA Authority Fund” NBP main</w:t>
            </w: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>Branch, Islamabad, must reach to the undersigned up to</w:t>
            </w: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>:00 hours by</w:t>
            </w:r>
            <w:r w:rsidRPr="009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AB4C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B564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Pr="009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201</w:t>
            </w:r>
            <w:r w:rsidR="00C631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1FEF" w:rsidRPr="009B564C" w:rsidTr="009B564C">
        <w:tc>
          <w:tcPr>
            <w:tcW w:w="828" w:type="dxa"/>
          </w:tcPr>
          <w:p w:rsidR="000B1FEF" w:rsidRPr="009B564C" w:rsidRDefault="000B1FEF" w:rsidP="006E4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0B1FEF" w:rsidRPr="009B564C" w:rsidRDefault="000B1FEF" w:rsidP="006E49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Government taxes prescribed rates must be included in the quotations. </w:t>
            </w:r>
          </w:p>
        </w:tc>
      </w:tr>
      <w:tr w:rsidR="000B1FEF" w:rsidRPr="009B564C" w:rsidTr="009B564C">
        <w:tc>
          <w:tcPr>
            <w:tcW w:w="828" w:type="dxa"/>
          </w:tcPr>
          <w:p w:rsidR="000B1FEF" w:rsidRPr="009B564C" w:rsidRDefault="000B1FEF" w:rsidP="006E4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0B1FEF" w:rsidRPr="009B564C" w:rsidRDefault="000B1FEF" w:rsidP="006E49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>Bids will be opened</w:t>
            </w: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the presence of bidders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071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AB4C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4761" w:rsidRPr="0059071E">
              <w:rPr>
                <w:rFonts w:ascii="Times New Roman" w:hAnsi="Times New Roman" w:cs="Times New Roman"/>
                <w:b/>
                <w:sz w:val="24"/>
                <w:szCs w:val="24"/>
              </w:rPr>
              <w:t>.11.2019 at 14:30</w:t>
            </w: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the </w:t>
            </w: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IRSA Authority meeting room.</w:t>
            </w:r>
          </w:p>
        </w:tc>
      </w:tr>
      <w:tr w:rsidR="000B1FEF" w:rsidRPr="009B564C" w:rsidTr="009B564C">
        <w:tc>
          <w:tcPr>
            <w:tcW w:w="828" w:type="dxa"/>
          </w:tcPr>
          <w:p w:rsidR="000B1FEF" w:rsidRPr="009B564C" w:rsidRDefault="000B1FEF" w:rsidP="006E4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0B1FEF" w:rsidRPr="009B564C" w:rsidRDefault="000B1FEF" w:rsidP="006E49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term &amp; condition must be specified clearly.</w:t>
            </w: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Incomplete tenders will be rejected. </w:t>
            </w:r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1FEF" w:rsidRPr="009B564C" w:rsidTr="009B564C">
        <w:tc>
          <w:tcPr>
            <w:tcW w:w="828" w:type="dxa"/>
          </w:tcPr>
          <w:p w:rsidR="000B1FEF" w:rsidRPr="009B564C" w:rsidRDefault="000B1FEF" w:rsidP="006E4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0B1FEF" w:rsidRPr="009B564C" w:rsidRDefault="000B1FEF" w:rsidP="006E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Call deposit of unsuccessful bidder will be returned </w:t>
            </w: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 xml:space="preserve">back on the same day. </w:t>
            </w:r>
          </w:p>
        </w:tc>
      </w:tr>
      <w:tr w:rsidR="000B1FEF" w:rsidRPr="009B564C" w:rsidTr="009B564C">
        <w:tc>
          <w:tcPr>
            <w:tcW w:w="828" w:type="dxa"/>
          </w:tcPr>
          <w:p w:rsidR="000B1FEF" w:rsidRPr="009B564C" w:rsidRDefault="000B1FEF" w:rsidP="006E4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0B1FEF" w:rsidRPr="009B564C" w:rsidRDefault="000B1FEF" w:rsidP="006E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 xml:space="preserve">Bid Security 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successful bidder will be refunded after one year of use/ performance of the </w:t>
            </w: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>Items.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0B1FEF" w:rsidRPr="009B564C" w:rsidTr="009B564C">
        <w:tc>
          <w:tcPr>
            <w:tcW w:w="828" w:type="dxa"/>
          </w:tcPr>
          <w:p w:rsidR="000B1FEF" w:rsidRPr="009B564C" w:rsidRDefault="000B1FEF" w:rsidP="006E4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0B1FEF" w:rsidRPr="009B564C" w:rsidRDefault="000B1FEF" w:rsidP="006E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>The successful bidder will be responsible to deliver the</w:t>
            </w:r>
            <w:r w:rsidRPr="009B564C">
              <w:rPr>
                <w:rFonts w:ascii="Times New Roman" w:hAnsi="Times New Roman" w:cs="Times New Roman"/>
                <w:sz w:val="24"/>
                <w:szCs w:val="24"/>
              </w:rPr>
              <w:t xml:space="preserve"> items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within two weeks of the issuance of Supply Order. </w:t>
            </w:r>
          </w:p>
        </w:tc>
      </w:tr>
      <w:tr w:rsidR="000B1FEF" w:rsidRPr="009B564C" w:rsidTr="009B564C">
        <w:tc>
          <w:tcPr>
            <w:tcW w:w="828" w:type="dxa"/>
          </w:tcPr>
          <w:p w:rsidR="000B1FEF" w:rsidRPr="009B564C" w:rsidRDefault="000B1FEF" w:rsidP="006E4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0B1FEF" w:rsidRPr="009B564C" w:rsidRDefault="000B1FEF" w:rsidP="006E49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detail term &amp; con</w:t>
            </w:r>
            <w:r w:rsidR="009E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dition please contact Mr. </w:t>
            </w:r>
            <w:proofErr w:type="spellStart"/>
            <w:r w:rsidR="009E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Tahir</w:t>
            </w:r>
            <w:proofErr w:type="spellEnd"/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 </w:t>
            </w:r>
            <w:proofErr w:type="gramStart"/>
            <w:r w:rsidR="009E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 w:rsidR="009E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Programmer</w:t>
            </w:r>
            <w:proofErr w:type="gramEnd"/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9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IRSA Telephone  No. 051-9108098</w:t>
            </w:r>
            <w:r w:rsidRPr="009B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1FEF" w:rsidRPr="009B564C" w:rsidTr="009B564C">
        <w:tc>
          <w:tcPr>
            <w:tcW w:w="828" w:type="dxa"/>
          </w:tcPr>
          <w:p w:rsidR="000B1FEF" w:rsidRPr="009B564C" w:rsidRDefault="000B1FEF" w:rsidP="006E4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0B1FEF" w:rsidRPr="009B564C" w:rsidRDefault="000B1FEF" w:rsidP="006E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competent authority may reject all bids or proposals at </w:t>
            </w:r>
            <w:r w:rsidRPr="009B56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any time prior to acceptance of a bid or proposal.</w:t>
            </w:r>
          </w:p>
        </w:tc>
      </w:tr>
    </w:tbl>
    <w:p w:rsidR="000B1FEF" w:rsidRPr="009B564C" w:rsidRDefault="000B1FEF" w:rsidP="000B1FE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1FEF" w:rsidRPr="009B564C" w:rsidRDefault="000B1FEF" w:rsidP="006E493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(Muhammad Khalid </w:t>
      </w:r>
      <w:proofErr w:type="spellStart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Idrees</w:t>
      </w:r>
      <w:proofErr w:type="spellEnd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Rana</w:t>
      </w:r>
      <w:proofErr w:type="spellEnd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B1FEF" w:rsidRPr="009B564C" w:rsidRDefault="000B1FEF" w:rsidP="006E493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Secretary</w:t>
      </w:r>
    </w:p>
    <w:p w:rsidR="000B1FEF" w:rsidRPr="009B564C" w:rsidRDefault="000B1FEF" w:rsidP="006E493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Indus River System Authority (IRSA)</w:t>
      </w:r>
    </w:p>
    <w:p w:rsidR="000B1FEF" w:rsidRPr="009B564C" w:rsidRDefault="000B1FEF" w:rsidP="006E493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35 Mauve </w:t>
      </w:r>
      <w:proofErr w:type="gramStart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Area</w:t>
      </w:r>
      <w:proofErr w:type="gramEnd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, G-10/4, Islamabad.</w:t>
      </w:r>
    </w:p>
    <w:p w:rsidR="009B564C" w:rsidRPr="00C90ACD" w:rsidRDefault="000B1FEF" w:rsidP="00C90AC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Tel</w:t>
      </w:r>
      <w:r w:rsidR="00C63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#051-9108010, Fax #051-9108007</w:t>
      </w:r>
    </w:p>
    <w:sectPr w:rsidR="009B564C" w:rsidRPr="00C90ACD" w:rsidSect="000B1FEF">
      <w:pgSz w:w="12240" w:h="20160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549E"/>
    <w:multiLevelType w:val="hybridMultilevel"/>
    <w:tmpl w:val="4A7E4616"/>
    <w:lvl w:ilvl="0" w:tplc="504CFF3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FEF"/>
    <w:rsid w:val="000B1FEF"/>
    <w:rsid w:val="002252E9"/>
    <w:rsid w:val="002A276B"/>
    <w:rsid w:val="00435374"/>
    <w:rsid w:val="004E3880"/>
    <w:rsid w:val="0059071E"/>
    <w:rsid w:val="005B2122"/>
    <w:rsid w:val="006937D4"/>
    <w:rsid w:val="006B18A4"/>
    <w:rsid w:val="006B2687"/>
    <w:rsid w:val="006D01EA"/>
    <w:rsid w:val="006D4D0D"/>
    <w:rsid w:val="006E4937"/>
    <w:rsid w:val="007C65A8"/>
    <w:rsid w:val="00832A41"/>
    <w:rsid w:val="00832FDE"/>
    <w:rsid w:val="0084441B"/>
    <w:rsid w:val="00990DDF"/>
    <w:rsid w:val="009B564C"/>
    <w:rsid w:val="009E4761"/>
    <w:rsid w:val="00A7470A"/>
    <w:rsid w:val="00A9707B"/>
    <w:rsid w:val="00AB4CE0"/>
    <w:rsid w:val="00B12EEF"/>
    <w:rsid w:val="00B9451B"/>
    <w:rsid w:val="00B9784A"/>
    <w:rsid w:val="00BC64DF"/>
    <w:rsid w:val="00BC743C"/>
    <w:rsid w:val="00BE388E"/>
    <w:rsid w:val="00C30779"/>
    <w:rsid w:val="00C63109"/>
    <w:rsid w:val="00C90ACD"/>
    <w:rsid w:val="00D437AA"/>
    <w:rsid w:val="00D74294"/>
    <w:rsid w:val="00DE4955"/>
    <w:rsid w:val="00E04356"/>
    <w:rsid w:val="00FB2D69"/>
    <w:rsid w:val="00FD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FE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 Mehboob</dc:creator>
  <cp:lastModifiedBy>Shahzad Mehboob</cp:lastModifiedBy>
  <cp:revision>19</cp:revision>
  <cp:lastPrinted>2019-10-31T07:53:00Z</cp:lastPrinted>
  <dcterms:created xsi:type="dcterms:W3CDTF">2019-10-30T10:38:00Z</dcterms:created>
  <dcterms:modified xsi:type="dcterms:W3CDTF">2019-10-31T08:57:00Z</dcterms:modified>
</cp:coreProperties>
</file>